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Stipčev vrh – Radlovac - Kurozeb</w:t>
            </w:r>
            <w:r>
              <w:rPr>
                <w:rFonts w:ascii="Arial" w:hAnsi="Arial" w:cs="Arial"/>
                <w:b/>
                <w:sz w:val="32"/>
                <w:szCs w:val="32"/>
              </w:rPr>
              <w:br/>
            </w:r>
            <w:r>
              <w:rPr>
                <w:rFonts w:ascii="Arial" w:hAnsi="Arial" w:cs="Arial"/>
                <w:b/>
                <w:sz w:val="32"/>
                <w:szCs w:val="32"/>
              </w:rPr>
              <w:t xml:space="preserve"> (5. godina "Podgorskih staza na srednjem Velebitu")</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22.05.2016.</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60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Krećemo iz podgorskog mjesta Čačići. Put nas vodi velebitskim Podgorjem do Stipčevog vrha (545 m), što može biti krajnji cilj za dio planinara. Nastavljamo do nekadašnjih velebitskih stanova na Radlovcu, gdje također dio planinara može počinuti dok ostali idu na obližnji vrh Kurozeb (1167 m).
</w:t>
            </w:r>
            <w:r>
              <w:rPr>
                <w:rFonts w:ascii="Arial" w:hAnsi="Arial" w:cs="Arial"/>
              </w:rPr>
              <w:br/>
            </w:r>
            <w:r>
              <w:rPr>
                <w:rFonts w:ascii="Arial" w:hAnsi="Arial" w:cs="Arial"/>
              </w:rPr>
              <w:t>Staza je dio kamenjakove planinarske obilaznice „Podgorske staze na Srednjem Velebitu“. Ovom prilikom, uz petu godišnjicu obilaznice, posjetit ćemo tri spomenute kontrolne točke. Dnevnik obilaznice može se nabaviti u tajništvu po cijeni 40 kn.
</w:t>
            </w:r>
            <w:r>
              <w:rPr>
                <w:rFonts w:ascii="Arial" w:hAnsi="Arial" w:cs="Arial"/>
              </w:rPr>
              <w:br/>
            </w:r>
            <w:r>
              <w:rPr>
                <w:rFonts w:ascii="Arial" w:hAnsi="Arial" w:cs="Arial"/>
              </w:rPr>
              <w:t>Upoznat ćemo dio prošlosti i sadašnjosti suživota Podgoraca i moćne planine koja izranja iz mora i penje se do Like.</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Prijave s obaveznom uplatom, do popunjenja autobusa.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2-7 sati hoda (ovisno o odabranoj grupi))</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Boris Kurilić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17.05.2016.</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