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Planinarsko krstarenje sjevernim Jadranom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22.09.2018.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9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 xml:space="preserve">u četvrtak, 27.9.  oko 11 ujutro na riječku rivu 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brod/trajekt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2.350 kn + bus i lučke pristojbe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Planinarsko krstarenje otocima sjevernog Jadrana 22 - 27.9.2018. ima u planu upoznavanje planinarskih, prirodnih i kulturno-povijesnih ljepota otoka sjevernog Jadrana, uz kupanje, zabavu i druženje.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1. dan - subota 22.9. ujutro: bus Rijeka-Zadar, ukrcaj i smještaj u dvokrevetnim kabinama na brodu, razgledavanje Zadra, kupanje na morskim orguljama, večera na brodu. 2. dan - nedjelja: plovidba Zadar - Mandre, uspon na najviši vrh otoka Paga sv. Vid, razgledavanje grada Paga, kupanje. Lakša grupa šeta Mandre-Šimuni-Kolan.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3. dan - ponedjeljak: plovidba Mandre - Rab sa kratkim zaustavljanjem i razgledavanjem maslinika u Lunu, uspon na najviši vrh otoka Raba Kamenjak. Lakša grupa vraća se istim putem a teža grupa spušta se u Lopar. Kupanje i razgledavanje grada Raba.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4. dan - utorak: plovidba Rab - Osor, uspon na Osoršćicu (lakša i teža grupa), kupanje i razgledavanje Nerezina i Osora.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5. dan - srijeda: plovidba Osor - Martinšćica, uspon na vrh Helm i Lubenice, silazak u Valun i ukrcaj na brod, plovidba do grada Cresa, kupanje i razgledavanje. Lakša grupa drži se broda i razgledava Martinšćicu i Valun.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6. dan - četvrtak: plovidba Cres - Rijeka, iskrcaj sa broda na riječkoj rivi.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Aranžman od šest dana/pet noći na bazi polupansiona (noćenje, doručak i večera na brodu) iznosi 2.350,00 kn. Lučke pristojbe oko 200 kn plaćaju se na brodu. Autobus Rijeka-Zadar naknadno.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Prilikom prijave obavezna je uplata prve rate od minimalno 500 kn, po mogućnosti internetom. Prijave do popunjena 34 mjesta na brodu. U slučaju odustajanja iz bilo kojeg razloga, uplata se vraća samo ako se to mjesto popuni sa liste čekanja. Tko želi, može sklopiti policu osiguranja za slučaj odustajanja.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Prilikom prijave obavezna je uplata prve rate od minimalno 500 kn, po mogućnosti internetom (IBAN: HR1524020061100075497). Prijave do popunjena 34 mjesta na brodu.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(svaki dan na izbor duže ili kraće staze)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kupaći kostim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31.08.2018.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